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proofErr w:type="spellStart"/>
      <w:r w:rsidRPr="00C97F9F">
        <w:rPr>
          <w:rFonts w:ascii="Arial" w:hAnsi="Arial" w:cs="Arial"/>
          <w:color w:val="FFFFFF"/>
          <w:sz w:val="24"/>
        </w:rPr>
        <w:t>ŽoP</w:t>
      </w:r>
      <w:proofErr w:type="spellEnd"/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4A3C77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(poskytnutie zálohovej platby)</w:t>
            </w:r>
          </w:p>
          <w:p w14:paraId="7A278FE5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4C85100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1F83A972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41E81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056B" w14:textId="77777777" w:rsidR="00282640" w:rsidRPr="00C97F9F" w:rsidRDefault="00282640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Príloha k ŽoP 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a sprievodnému listu</w:t>
            </w:r>
          </w:p>
        </w:tc>
      </w:tr>
      <w:tr w:rsidR="00282640" w:rsidRPr="00A037CD" w14:paraId="3B510260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85082" w14:textId="77777777" w:rsidR="00282640" w:rsidRPr="00A30AA5" w:rsidRDefault="00282640" w:rsidP="00B565F5">
            <w:pPr>
              <w:ind w:left="360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559C0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noProof/>
                <w:sz w:val="18"/>
                <w:szCs w:val="18"/>
              </w:rPr>
              <w:t>Bez príloh</w:t>
            </w:r>
          </w:p>
        </w:tc>
      </w:tr>
    </w:tbl>
    <w:p w14:paraId="2DD4FECF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F400E2F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1BEAC0AC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D09C0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BDB12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0B036F3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(zúčtovanie zálohovej platby)</w:t>
            </w:r>
            <w:r>
              <w:rPr>
                <w:rStyle w:val="Odkaznapoznmkupodiarou"/>
                <w:rFonts w:ascii="Arial" w:hAnsi="Arial" w:cs="Arial"/>
                <w:b/>
                <w:bCs/>
                <w:color w:val="FFFFFF"/>
              </w:rPr>
              <w:footnoteReference w:id="2"/>
            </w:r>
          </w:p>
          <w:p w14:paraId="6338FA64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17EE410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EE4007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77777777" w:rsidR="00282640" w:rsidRPr="00C97F9F" w:rsidRDefault="00282640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 a sprievodnému listu</w:t>
            </w:r>
          </w:p>
        </w:tc>
      </w:tr>
      <w:tr w:rsidR="00282640" w:rsidRPr="00A037CD" w14:paraId="679DFFA8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77777777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Účtovný doklad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3D429DDA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77777777" w:rsidR="00282640" w:rsidRPr="00A30AA5" w:rsidRDefault="00282640" w:rsidP="00B565F5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protokol)</w:t>
            </w:r>
          </w:p>
        </w:tc>
      </w:tr>
      <w:tr w:rsidR="00282640" w:rsidRPr="00A037CD" w14:paraId="6C6D8743" w14:textId="77777777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77777777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0" w:name="RANGE!C8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 prijatí NFP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a 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doklady o úhrade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celej sumy účtovného dokladu dodávateľovi</w:t>
            </w:r>
            <w:bookmarkEnd w:id="0"/>
            <w:r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  <w:t xml:space="preserve"> </w:t>
            </w:r>
            <w:r w:rsidRPr="00A30AA5"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  <w:t>(</w:t>
            </w:r>
            <w:r w:rsidRPr="00A30AA5">
              <w:rPr>
                <w:rFonts w:ascii="Arial" w:hAnsi="Arial" w:cs="Arial"/>
                <w:sz w:val="18"/>
                <w:szCs w:val="18"/>
              </w:rPr>
              <w:t xml:space="preserve">výpis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z bankového účtu určeného pre projekt, resp. prehlásenie banky o úhrade výdavkov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blok, zjednodušený daňový doklad)</w:t>
            </w:r>
          </w:p>
        </w:tc>
      </w:tr>
      <w:tr w:rsidR="00282640" w:rsidRPr="00A037CD" w14:paraId="4910B277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77777777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" w:name="RANGE!C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predbežnej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1"/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9 zákona o finančnej kontrole </w:t>
            </w:r>
          </w:p>
        </w:tc>
      </w:tr>
      <w:tr w:rsidR="00282640" w:rsidRPr="00A037CD" w14:paraId="49E1EFF0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AA4C37B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77777777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</w:tbl>
    <w:p w14:paraId="4670812F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(poskytnutie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</w:rPr>
              <w:t xml:space="preserve"> resp. priebežná platba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1D6FD990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2884D1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77777777" w:rsidR="00282640" w:rsidRPr="00C97F9F" w:rsidRDefault="00282640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 a sprievodnému listu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77777777" w:rsidR="00282640" w:rsidRPr="00A30AA5" w:rsidRDefault="00282640" w:rsidP="00282640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Neuhradené ú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é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 v lehote splatnosti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77777777" w:rsidR="00282640" w:rsidRPr="00A30AA5" w:rsidRDefault="00282640" w:rsidP="00B565F5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(aj v elektronickej verzii na CD  výlučne v excelovskom formáte)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, tovary a služby - dodací list, preberací protokol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5B2D9292" w14:textId="77777777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7471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FDEA7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B565F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Protokoly o zaradení do majetku</w:t>
            </w:r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2" w:name="RANGE!G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 predbežnej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2"/>
            <w:r w:rsidRPr="00A30AA5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od subjektov, na ktoré sa vzťahuje  § 9 zákona o finančnej kontrole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Kópie stránok stavebného denníka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A30AA5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282640" w:rsidRPr="00A037CD" w14:paraId="742206CD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0C15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6CC8C" w14:textId="77777777" w:rsidR="00282640" w:rsidRPr="005F2465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282640" w:rsidRPr="00A037CD" w14:paraId="335F12C9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BCE8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FB63D" w14:textId="77777777" w:rsidR="00282640" w:rsidRPr="005F2465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Žiadosť o uvolnenie vinkulovaných prostriedkov spolu s oznámením o súhlase s uvoľnením vinkolovaných finančných prostriedkov</w:t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(zúčtovanie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5FE4713F" w14:textId="77777777" w:rsidR="00282640" w:rsidRPr="00A037CD" w:rsidRDefault="00282640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</w:tbl>
    <w:p w14:paraId="03D8F74C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77777777" w:rsidR="00282640" w:rsidRPr="00C97F9F" w:rsidRDefault="00282640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 a sprievodnému listu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6806CF4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Doklad o  prijatí NFP a doklady o úhrade celej sumy účtovného dokladu dodávateľovi  (originál výpisu z bankového účtu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</w:rPr>
              <w:t>záverečná platba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275AA59F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3F4DDAC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77777777" w:rsidR="00282640" w:rsidRPr="00C97F9F" w:rsidRDefault="00282640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 a sprievodnému listu</w:t>
            </w:r>
          </w:p>
        </w:tc>
      </w:tr>
      <w:tr w:rsidR="00282640" w:rsidRPr="00A037CD" w14:paraId="54C0F3D4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00760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7AEFD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Ú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hradené ú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é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15C35C56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6F6A4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0B742" w14:textId="77777777" w:rsidR="00282640" w:rsidRPr="00A30AA5" w:rsidRDefault="00282640" w:rsidP="00B565F5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(aj v elektronickej verzii na CD  výlučne v excelovskom formáte)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, tovary a služby - dodací list, preberací protokol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02F01FCD" w14:textId="77777777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9FE4D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D8626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úhrade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celej sumy účtovného dokladu dodávateľovi</w:t>
            </w:r>
            <w:r w:rsidRPr="00A30AA5"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  <w:t xml:space="preserve">  (</w:t>
            </w:r>
            <w:r w:rsidRPr="00A30AA5">
              <w:rPr>
                <w:rFonts w:ascii="Arial" w:hAnsi="Arial" w:cs="Arial"/>
                <w:sz w:val="18"/>
                <w:szCs w:val="18"/>
              </w:rPr>
              <w:t>výpis z bankového účtu určeného pre projekt</w:t>
            </w:r>
            <w:r w:rsidRPr="00A30AA5"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  <w:t xml:space="preserve"> )   </w:t>
            </w:r>
          </w:p>
        </w:tc>
      </w:tr>
      <w:tr w:rsidR="00282640" w:rsidRPr="00A037CD" w14:paraId="1D7F414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0A43C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96473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predbežnej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  od subjektov, na ktoré sa vzťahuje  § 9 zákona o finančnej kontrole</w:t>
            </w:r>
          </w:p>
        </w:tc>
      </w:tr>
      <w:tr w:rsidR="00282640" w:rsidRPr="00A037CD" w14:paraId="7B072E9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3091C57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583451A6" w:rsidR="00282640" w:rsidRPr="00881252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5509D66C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09AA0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20D1E" w14:textId="353F163B" w:rsidR="00282640" w:rsidRPr="00075645" w:rsidRDefault="00282640" w:rsidP="00E807A3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 w:rsidRPr="000B5E3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807A3" w:rsidRPr="00075645">
              <w:rPr>
                <w:rFonts w:ascii="Arial" w:hAnsi="Arial" w:cs="Arial"/>
                <w:noProof/>
                <w:sz w:val="18"/>
                <w:szCs w:val="18"/>
              </w:rPr>
              <w:t> (počas realizácie projektu min. 10 fotografií)</w:t>
            </w:r>
          </w:p>
          <w:p w14:paraId="2648E1C4" w14:textId="2FF6C50A" w:rsidR="00E807A3" w:rsidRPr="000B5E32" w:rsidRDefault="00E807A3" w:rsidP="00E807A3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075645">
              <w:rPr>
                <w:rFonts w:ascii="Arial" w:hAnsi="Arial" w:cs="Arial"/>
                <w:noProof/>
                <w:sz w:val="18"/>
                <w:szCs w:val="18"/>
              </w:rPr>
              <w:t>Dokumentácia publicity projektu (fotografie, printscreeny)</w:t>
            </w:r>
          </w:p>
        </w:tc>
      </w:tr>
      <w:tr w:rsidR="00CD455B" w:rsidRPr="00A037CD" w14:paraId="26DC6C53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3CC3E" w14:textId="77777777" w:rsidR="00CD455B" w:rsidRPr="00A30AA5" w:rsidRDefault="00CD455B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F4CA6" w14:textId="504496FF" w:rsidR="00CD455B" w:rsidRPr="000B5E32" w:rsidRDefault="00CD455B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Poistná zmluva a doklad o</w:t>
            </w:r>
            <w:r w:rsidR="00E807A3"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> </w:t>
            </w: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úhrade</w:t>
            </w:r>
            <w:r w:rsidR="00E807A3"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E807A3" w:rsidRPr="00075645">
              <w:rPr>
                <w:rFonts w:ascii="Arial" w:hAnsi="Arial" w:cs="Arial"/>
                <w:noProof/>
                <w:sz w:val="18"/>
                <w:szCs w:val="18"/>
              </w:rPr>
              <w:t>(resp. dodatok k poistnej zmluve)</w:t>
            </w:r>
          </w:p>
        </w:tc>
      </w:tr>
      <w:tr w:rsidR="00282640" w:rsidRPr="00A037CD" w14:paraId="36C9F86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474E8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75D070" w14:textId="0F7377A4" w:rsidR="00282640" w:rsidRPr="000B5E32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Čestné vyhlásenie o ukončení realizácie projektu</w:t>
            </w:r>
          </w:p>
        </w:tc>
      </w:tr>
      <w:tr w:rsidR="002529A0" w:rsidRPr="00A037CD" w14:paraId="598B92F7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A9B11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BE8B7" w14:textId="486B4FB8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 w:rsidR="00E807A3"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E807A3" w:rsidRPr="00075645">
              <w:rPr>
                <w:rFonts w:ascii="Arial" w:hAnsi="Arial" w:cs="Arial"/>
                <w:noProof/>
                <w:sz w:val="18"/>
                <w:szCs w:val="18"/>
              </w:rPr>
              <w:t>(z účtovníctva)</w:t>
            </w:r>
          </w:p>
        </w:tc>
      </w:tr>
      <w:tr w:rsidR="002529A0" w:rsidRPr="00A037CD" w14:paraId="0F287FC7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1E971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57A7B" w14:textId="2C30299B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Kópie stránok stavebného denníka</w:t>
            </w:r>
          </w:p>
        </w:tc>
      </w:tr>
      <w:tr w:rsidR="002529A0" w:rsidRPr="00A037CD" w14:paraId="65B717D4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4EB8FC38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</w:p>
        </w:tc>
      </w:tr>
      <w:tr w:rsidR="002529A0" w:rsidRPr="00A037CD" w14:paraId="1005083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7FA22F39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Preberací protokol (stavby)</w:t>
            </w:r>
          </w:p>
        </w:tc>
      </w:tr>
      <w:tr w:rsidR="002529A0" w:rsidRPr="00A037CD" w14:paraId="0D6F3263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80EDA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E8CE0" w14:textId="0BFAA1A9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2529A0" w:rsidRPr="00A037CD" w14:paraId="3A727F6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CBE9A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91473" w14:textId="29187EED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Žiadosť o uvolnenie vinkulovaných prostriedkov spolu s oznámením o súhlase s uvoľnením vinkolovaných finančných prostriedkov</w:t>
            </w:r>
          </w:p>
        </w:tc>
      </w:tr>
      <w:tr w:rsidR="00E807A3" w:rsidRPr="00A037CD" w14:paraId="095440EC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075645" w:rsidRDefault="00E807A3" w:rsidP="0007564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0B5E32" w:rsidRPr="00A037CD" w14:paraId="3BC6E904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14A07" w14:textId="77777777" w:rsidR="000B5E32" w:rsidRPr="00A30AA5" w:rsidRDefault="000B5E32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1C888" w14:textId="3EF17569" w:rsidR="000B5E32" w:rsidRPr="00075645" w:rsidRDefault="000B5E32" w:rsidP="00E807A3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Ddoklady k zriadeniu záložného práva </w:t>
            </w:r>
            <w:r w:rsidRPr="00075645">
              <w:rPr>
                <w:rFonts w:ascii="Arial" w:hAnsi="Arial" w:cs="Arial"/>
                <w:noProof/>
                <w:sz w:val="18"/>
                <w:szCs w:val="18"/>
              </w:rPr>
              <w:t>(Znalecký posudok, LV, príp. cenné papiere k založeniu alebo inému pozemku),</w:t>
            </w: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Záložná zmluva</w:t>
            </w:r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48E58" w14:textId="77777777" w:rsidR="002F21F4" w:rsidRDefault="002F21F4" w:rsidP="00282640">
      <w:r>
        <w:separator/>
      </w:r>
    </w:p>
  </w:endnote>
  <w:endnote w:type="continuationSeparator" w:id="0">
    <w:p w14:paraId="288F310A" w14:textId="77777777" w:rsidR="002F21F4" w:rsidRDefault="002F21F4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2F21F4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E083" w14:textId="3062085A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2408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39929" w14:textId="77777777" w:rsidR="00EF7E12" w:rsidRDefault="00EF7E1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6B88A" w14:textId="77777777" w:rsidR="002F21F4" w:rsidRDefault="002F21F4" w:rsidP="00282640">
      <w:r>
        <w:separator/>
      </w:r>
    </w:p>
  </w:footnote>
  <w:footnote w:type="continuationSeparator" w:id="0">
    <w:p w14:paraId="5F278703" w14:textId="77777777" w:rsidR="002F21F4" w:rsidRDefault="002F21F4" w:rsidP="00282640">
      <w:r>
        <w:continuationSeparator/>
      </w:r>
    </w:p>
  </w:footnote>
  <w:footnote w:id="1">
    <w:p w14:paraId="1A3D56BD" w14:textId="77777777" w:rsidR="00282640" w:rsidRDefault="00282640" w:rsidP="00282640">
      <w:pPr>
        <w:jc w:val="both"/>
        <w:rPr>
          <w:rFonts w:eastAsia="Calibri" w:cs="Arial"/>
          <w:szCs w:val="19"/>
        </w:rPr>
      </w:pPr>
      <w:r>
        <w:rPr>
          <w:rStyle w:val="Odkaznapoznmkupodiarou"/>
        </w:rPr>
        <w:footnoteRef/>
      </w:r>
      <w:r>
        <w:t xml:space="preserve"> </w:t>
      </w:r>
      <w:r w:rsidRPr="003E21E9">
        <w:rPr>
          <w:rFonts w:ascii="Arial" w:eastAsia="Calibri" w:hAnsi="Arial" w:cs="Arial"/>
          <w:bCs/>
          <w:sz w:val="16"/>
          <w:szCs w:val="16"/>
        </w:rPr>
        <w:t xml:space="preserve">Dokumentácia sa predkladá buď v písomnej forme (rovnopis originálu alebo kópia dokumentácie) alebo v elektronickej forme. </w:t>
      </w:r>
      <w:proofErr w:type="spellStart"/>
      <w:r w:rsidRPr="003E21E9">
        <w:rPr>
          <w:rFonts w:ascii="Arial" w:eastAsia="Calibri" w:hAnsi="Arial" w:cs="Arial"/>
          <w:bCs/>
          <w:sz w:val="16"/>
          <w:szCs w:val="16"/>
        </w:rPr>
        <w:t>ŽoP</w:t>
      </w:r>
      <w:proofErr w:type="spellEnd"/>
      <w:r w:rsidRPr="003E21E9">
        <w:rPr>
          <w:rFonts w:ascii="Arial" w:eastAsia="Calibri" w:hAnsi="Arial" w:cs="Arial"/>
          <w:bCs/>
          <w:sz w:val="16"/>
          <w:szCs w:val="16"/>
        </w:rPr>
        <w:t xml:space="preserve"> a dokumentácia k </w:t>
      </w:r>
      <w:proofErr w:type="spellStart"/>
      <w:r w:rsidRPr="003E21E9">
        <w:rPr>
          <w:rFonts w:ascii="Arial" w:eastAsia="Calibri" w:hAnsi="Arial" w:cs="Arial"/>
          <w:bCs/>
          <w:sz w:val="16"/>
          <w:szCs w:val="16"/>
        </w:rPr>
        <w:t>ŽoP</w:t>
      </w:r>
      <w:proofErr w:type="spellEnd"/>
      <w:r w:rsidRPr="003E21E9">
        <w:rPr>
          <w:rFonts w:ascii="Arial" w:eastAsia="Calibri" w:hAnsi="Arial" w:cs="Arial"/>
          <w:bCs/>
          <w:sz w:val="16"/>
          <w:szCs w:val="16"/>
        </w:rPr>
        <w:t xml:space="preserve"> (vrátane účtovných dokladov a dokladov o úhrade výdavkov) sa predkladá jedenkrát. Kópia dokumentácie je podpísaná štatutárnym orgánom prijímateľa (alebo ním splnomocnenou osobou), uvedené sa vyžaduje iba pre doklady preukazujúce úhradu výdavkov (napr. výpis z bankového účtu). Ak dokumentácia pozostáva z viacerých listín, každá listina spĺňa požiadavku uvedenú v prvej vete.  Na výpisy zo štátnej pokladnice sa požiadavka na kópie dokumentácie nevzťahuje.</w:t>
      </w:r>
    </w:p>
    <w:p w14:paraId="3E356149" w14:textId="77777777" w:rsidR="00282640" w:rsidRDefault="00282640" w:rsidP="00282640">
      <w:pPr>
        <w:pStyle w:val="Textpoznmkypodiarou"/>
      </w:pPr>
    </w:p>
  </w:footnote>
  <w:footnote w:id="2">
    <w:p w14:paraId="20E1FD95" w14:textId="77777777" w:rsidR="00282640" w:rsidRDefault="00282640" w:rsidP="002826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76F01">
        <w:rPr>
          <w:rFonts w:ascii="Arial" w:eastAsia="Calibri" w:hAnsi="Arial" w:cs="Arial"/>
          <w:bCs/>
          <w:sz w:val="16"/>
          <w:szCs w:val="16"/>
        </w:rPr>
        <w:t>Podrobnejšie je dokladovanie a preukazovanie oprávnených výdavkov riešené v </w:t>
      </w:r>
      <w:hyperlink r:id="rId1" w:history="1">
        <w:r w:rsidRPr="00F76F01">
          <w:rPr>
            <w:rStyle w:val="Hypertextovprepojenie"/>
            <w:rFonts w:ascii="Arial" w:eastAsia="Calibri" w:hAnsi="Arial" w:cs="Arial"/>
            <w:bCs/>
            <w:sz w:val="16"/>
            <w:szCs w:val="16"/>
          </w:rPr>
          <w:t>metodickom pokyne CKO č. 6, s. 24 – 38</w:t>
        </w:r>
      </w:hyperlink>
      <w:r w:rsidRPr="00F76F01">
        <w:rPr>
          <w:rFonts w:ascii="Arial" w:eastAsia="Calibri" w:hAnsi="Arial" w:cs="Arial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FAD83" w14:textId="77777777" w:rsidR="00EF7E12" w:rsidRDefault="00EF7E1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2F21F4" w:rsidP="00564B81">
    <w:pPr>
      <w:pStyle w:val="Hlavika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D708" w14:textId="77777777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825507">
      <w:rPr>
        <w:rFonts w:ascii="Arial" w:hAnsi="Arial" w:cs="Arial"/>
        <w:sz w:val="19"/>
        <w:szCs w:val="19"/>
      </w:rPr>
      <w:t>Príloha č. 6.</w:t>
    </w:r>
    <w:r>
      <w:rPr>
        <w:rFonts w:ascii="Arial" w:hAnsi="Arial" w:cs="Arial"/>
        <w:sz w:val="19"/>
        <w:szCs w:val="19"/>
      </w:rPr>
      <w:t>3</w:t>
    </w:r>
    <w:r w:rsidRPr="00E6359C">
      <w:t xml:space="preserve"> </w:t>
    </w:r>
    <w:r w:rsidRPr="00E6359C">
      <w:rPr>
        <w:rFonts w:ascii="Arial" w:hAnsi="Arial" w:cs="Arial"/>
        <w:sz w:val="19"/>
        <w:szCs w:val="19"/>
      </w:rPr>
      <w:t xml:space="preserve">Zoznam príloh podľa jednotlivých typov </w:t>
    </w:r>
    <w:proofErr w:type="spellStart"/>
    <w:r w:rsidRPr="00E6359C">
      <w:rPr>
        <w:rFonts w:ascii="Arial" w:hAnsi="Arial" w:cs="Arial"/>
        <w:sz w:val="19"/>
        <w:szCs w:val="19"/>
      </w:rPr>
      <w:t>ŽoP</w:t>
    </w:r>
    <w:proofErr w:type="spellEnd"/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1.3</w:t>
    </w:r>
  </w:p>
  <w:p w14:paraId="55B81A8F" w14:textId="77777777" w:rsidR="006D58C4" w:rsidRPr="00564B81" w:rsidRDefault="006D58C4" w:rsidP="006D58C4">
    <w:pPr>
      <w:pStyle w:val="Hlavika"/>
    </w:pPr>
  </w:p>
  <w:p w14:paraId="7E91788A" w14:textId="4D009809" w:rsidR="00EF7E12" w:rsidRDefault="006D58C4">
    <w:pPr>
      <w:pStyle w:val="Hlavika"/>
    </w:pPr>
    <w:r>
      <w:rPr>
        <w:b/>
        <w:noProof/>
        <w:sz w:val="19"/>
        <w:szCs w:val="19"/>
        <w:u w:val="single"/>
      </w:rPr>
      <w:drawing>
        <wp:anchor distT="0" distB="0" distL="114300" distR="114300" simplePos="0" relativeHeight="251659264" behindDoc="1" locked="0" layoutInCell="1" allowOverlap="1" wp14:anchorId="2AD56E2F" wp14:editId="6D90044F">
          <wp:simplePos x="0" y="0"/>
          <wp:positionH relativeFrom="page">
            <wp:posOffset>914400</wp:posOffset>
          </wp:positionH>
          <wp:positionV relativeFrom="topMargin">
            <wp:posOffset>1028700</wp:posOffset>
          </wp:positionV>
          <wp:extent cx="5867400" cy="1381125"/>
          <wp:effectExtent l="0" t="0" r="0" b="9525"/>
          <wp:wrapTight wrapText="bothSides">
            <wp:wrapPolygon edited="0">
              <wp:start x="0" y="0"/>
              <wp:lineTo x="0" y="21451"/>
              <wp:lineTo x="21530" y="21451"/>
              <wp:lineTo x="21530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1381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639A3"/>
    <w:rsid w:val="00075645"/>
    <w:rsid w:val="000B5E32"/>
    <w:rsid w:val="00242408"/>
    <w:rsid w:val="002529A0"/>
    <w:rsid w:val="00282640"/>
    <w:rsid w:val="002F21F4"/>
    <w:rsid w:val="00310031"/>
    <w:rsid w:val="00345C5C"/>
    <w:rsid w:val="0035277C"/>
    <w:rsid w:val="003C0F34"/>
    <w:rsid w:val="003C4FF7"/>
    <w:rsid w:val="003F6479"/>
    <w:rsid w:val="004056B9"/>
    <w:rsid w:val="005132FF"/>
    <w:rsid w:val="00544001"/>
    <w:rsid w:val="00593C93"/>
    <w:rsid w:val="00613DAD"/>
    <w:rsid w:val="00620F9C"/>
    <w:rsid w:val="006A630C"/>
    <w:rsid w:val="006B5143"/>
    <w:rsid w:val="006D58C4"/>
    <w:rsid w:val="00741336"/>
    <w:rsid w:val="007D0838"/>
    <w:rsid w:val="007E0F65"/>
    <w:rsid w:val="00825507"/>
    <w:rsid w:val="008F0B80"/>
    <w:rsid w:val="009C52F4"/>
    <w:rsid w:val="009D395A"/>
    <w:rsid w:val="00A65606"/>
    <w:rsid w:val="00AC24F6"/>
    <w:rsid w:val="00B43046"/>
    <w:rsid w:val="00B56357"/>
    <w:rsid w:val="00B952E2"/>
    <w:rsid w:val="00BB6FE6"/>
    <w:rsid w:val="00CD455B"/>
    <w:rsid w:val="00D445A5"/>
    <w:rsid w:val="00DD3EDB"/>
    <w:rsid w:val="00DE361D"/>
    <w:rsid w:val="00E6359C"/>
    <w:rsid w:val="00E807A3"/>
    <w:rsid w:val="00E8086F"/>
    <w:rsid w:val="00EF7C24"/>
    <w:rsid w:val="00EF7E12"/>
    <w:rsid w:val="00FB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9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/mp-cko-c-6-verzia-1-k-pravidlam-opravnenosti-pre-najcastejsie-sa-vyskytujuce-skupiny-vydavkov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08AA5-8D77-403A-87F8-A23C6935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Cifrová Libuša</cp:lastModifiedBy>
  <cp:revision>23</cp:revision>
  <dcterms:created xsi:type="dcterms:W3CDTF">2016-08-26T06:06:00Z</dcterms:created>
  <dcterms:modified xsi:type="dcterms:W3CDTF">2019-04-15T12:39:00Z</dcterms:modified>
</cp:coreProperties>
</file>